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1FF0D091"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CD7CDF">
        <w:rPr>
          <w:rFonts w:hint="eastAsia"/>
          <w:b/>
          <w:sz w:val="24"/>
          <w:szCs w:val="24"/>
          <w:lang w:eastAsia="ko-KR"/>
        </w:rPr>
        <w:t>A</w:t>
      </w:r>
      <w:r w:rsidR="00CD7CDF">
        <w:rPr>
          <w:b/>
          <w:sz w:val="24"/>
          <w:szCs w:val="24"/>
          <w:lang w:eastAsia="ko-KR"/>
        </w:rPr>
        <w:t>H</w:t>
      </w:r>
      <w:r w:rsidR="001B696E">
        <w:rPr>
          <w:b/>
          <w:sz w:val="24"/>
          <w:szCs w:val="24"/>
          <w:lang w:eastAsia="ko-KR"/>
        </w:rPr>
        <w:t xml:space="preserve"> </w:t>
      </w:r>
      <w:r w:rsidR="00CD7CDF">
        <w:rPr>
          <w:b/>
          <w:sz w:val="24"/>
          <w:szCs w:val="24"/>
          <w:lang w:eastAsia="ko-KR"/>
        </w:rPr>
        <w:t>1801</w:t>
      </w:r>
      <w:r w:rsidRPr="006E473F">
        <w:rPr>
          <w:rFonts w:hint="eastAsia"/>
          <w:b/>
          <w:sz w:val="24"/>
          <w:szCs w:val="24"/>
          <w:lang w:eastAsia="ko-KR"/>
        </w:rPr>
        <w:tab/>
      </w:r>
      <w:r w:rsidR="00A675F1" w:rsidRPr="00A675F1">
        <w:rPr>
          <w:b/>
          <w:i/>
          <w:sz w:val="24"/>
          <w:szCs w:val="24"/>
          <w:lang w:eastAsia="ko-KR"/>
        </w:rPr>
        <w:t>R1-1800415</w:t>
      </w:r>
    </w:p>
    <w:bookmarkEnd w:id="0"/>
    <w:bookmarkEnd w:id="1"/>
    <w:p w14:paraId="2735BAC9" w14:textId="47C0AC58" w:rsidR="006D2ED0" w:rsidRPr="00C51967" w:rsidRDefault="00CD7CDF" w:rsidP="006D2ED0">
      <w:pPr>
        <w:pStyle w:val="CRCoverPage"/>
        <w:spacing w:after="240"/>
        <w:outlineLvl w:val="0"/>
        <w:rPr>
          <w:b/>
          <w:noProof/>
          <w:sz w:val="24"/>
          <w:szCs w:val="24"/>
        </w:rPr>
      </w:pPr>
      <w:r w:rsidRPr="00CD7CDF">
        <w:rPr>
          <w:b/>
          <w:bCs/>
          <w:noProof/>
          <w:sz w:val="24"/>
          <w:szCs w:val="24"/>
          <w:lang w:eastAsia="ko-KR"/>
        </w:rPr>
        <w:t>Vancouver, Canada, January 22</w:t>
      </w:r>
      <w:r w:rsidRPr="00CD7CDF">
        <w:rPr>
          <w:b/>
          <w:bCs/>
          <w:noProof/>
          <w:sz w:val="24"/>
          <w:szCs w:val="24"/>
          <w:vertAlign w:val="superscript"/>
          <w:lang w:eastAsia="ko-KR"/>
        </w:rPr>
        <w:t>nd</w:t>
      </w:r>
      <w:r w:rsidRPr="00CD7CDF">
        <w:rPr>
          <w:b/>
          <w:bCs/>
          <w:noProof/>
          <w:sz w:val="24"/>
          <w:szCs w:val="24"/>
          <w:lang w:eastAsia="ko-KR"/>
        </w:rPr>
        <w:t xml:space="preserve"> – 26</w:t>
      </w:r>
      <w:r w:rsidRPr="00CD7CDF">
        <w:rPr>
          <w:b/>
          <w:bCs/>
          <w:noProof/>
          <w:sz w:val="24"/>
          <w:szCs w:val="24"/>
          <w:vertAlign w:val="superscript"/>
          <w:lang w:eastAsia="ko-KR"/>
        </w:rPr>
        <w:t>th</w:t>
      </w:r>
      <w:r w:rsidRPr="00CD7CDF">
        <w:rPr>
          <w:b/>
          <w:bCs/>
          <w:noProof/>
          <w:sz w:val="24"/>
          <w:szCs w:val="24"/>
          <w:lang w:eastAsia="ko-KR"/>
        </w:rPr>
        <w:t>, 2018</w:t>
      </w:r>
    </w:p>
    <w:p w14:paraId="534B7880" w14:textId="7520C64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74AFF5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CD7CDF">
        <w:rPr>
          <w:rFonts w:ascii="Arial" w:hAnsi="Arial"/>
          <w:sz w:val="24"/>
        </w:rPr>
        <w:t>Correction</w:t>
      </w:r>
      <w:r w:rsidR="00856065" w:rsidRPr="00856065">
        <w:rPr>
          <w:rFonts w:ascii="Arial" w:hAnsi="Arial"/>
          <w:sz w:val="24"/>
        </w:rPr>
        <w:t xml:space="preserve"> on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5D62049" w14:textId="799A9AEE" w:rsidR="008A2F33" w:rsidRPr="008A2F33" w:rsidRDefault="00A675F1" w:rsidP="009209BC">
      <w:pPr>
        <w:jc w:val="both"/>
        <w:rPr>
          <w:lang w:val="en-US" w:eastAsia="ja-JP"/>
        </w:rPr>
      </w:pPr>
      <w:r w:rsidRPr="00A675F1">
        <w:rPr>
          <w:lang w:val="en-US" w:eastAsia="ja-JP"/>
        </w:rPr>
        <w:t xml:space="preserve">This contribution discusses the remaining issues on </w:t>
      </w:r>
      <w:r>
        <w:rPr>
          <w:lang w:val="en-US" w:eastAsia="ja-JP"/>
        </w:rPr>
        <w:t>OSI</w:t>
      </w:r>
      <w:r w:rsidR="009209BC">
        <w:rPr>
          <w:lang w:val="en-US" w:eastAsia="ja-JP"/>
        </w:rPr>
        <w:t>: The compact DCI is proposed which can be applicable for common control signaling in general.</w:t>
      </w:r>
    </w:p>
    <w:p w14:paraId="510323B1" w14:textId="77777777" w:rsidR="00A675F1" w:rsidRDefault="00A675F1" w:rsidP="00A675F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Compact DCI Format Design</w:t>
      </w:r>
    </w:p>
    <w:p w14:paraId="0A0EE54E" w14:textId="5AF48811" w:rsidR="001E538F" w:rsidRDefault="00A675F1" w:rsidP="00A675F1">
      <w:pPr>
        <w:jc w:val="both"/>
        <w:rPr>
          <w:lang w:eastAsia="ja-JP"/>
        </w:rPr>
      </w:pPr>
      <w:r>
        <w:t>In RAN1 #91 meeting, working assumption on the downlink DCI contents and formats was made. In initial access, the transmission of PDSCH of RMSI is broadcasted, and the RRC connection has not been established, such that many fields in a general DCI format may not be applicable to RMSI. Meanwhile, the number of resource elements is quite limited, especially for multiplexing pattern 2 and 3. Hence, to guarantee the coverage of RMSI, a compact DCI format, designed exclusively at least for RMSI, is proposed</w:t>
      </w:r>
      <w:r w:rsidR="00B42393">
        <w:t xml:space="preserve"> [1]</w:t>
      </w:r>
      <w:r>
        <w:t xml:space="preserve">. </w:t>
      </w:r>
      <w:r>
        <w:rPr>
          <w:lang w:eastAsia="ja-JP"/>
        </w:rPr>
        <w:t xml:space="preserve">Considering the scheduling flexibility and available number of resource elements for multiplexing patterns, the contents of the compact DCI format are determined for different multiplexing pattern separately, as in </w:t>
      </w:r>
      <w:r>
        <w:rPr>
          <w:lang w:eastAsia="ja-JP"/>
        </w:rPr>
        <w:fldChar w:fldCharType="begin"/>
      </w:r>
      <w:r>
        <w:rPr>
          <w:lang w:eastAsia="ja-JP"/>
        </w:rPr>
        <w:instrText xml:space="preserve"> REF _Ref503259860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w:t>
      </w:r>
      <w:r w:rsidR="004751CB">
        <w:rPr>
          <w:lang w:eastAsia="ja-JP"/>
        </w:rPr>
        <w:t xml:space="preserve"> </w:t>
      </w:r>
    </w:p>
    <w:p w14:paraId="5349B712" w14:textId="77777777" w:rsidR="00A570BB" w:rsidRDefault="00A570BB" w:rsidP="00A570BB">
      <w:pPr>
        <w:jc w:val="both"/>
        <w:rPr>
          <w:lang w:eastAsia="ja-JP"/>
        </w:rPr>
      </w:pPr>
      <w:r>
        <w:rPr>
          <w:lang w:eastAsia="ja-JP"/>
        </w:rPr>
        <w:t xml:space="preserve">Since there is no distinction between RMSI and OSI from PDSCH scheduling perspective, it is proposed to introduce compact DCI for OSI as well. </w:t>
      </w:r>
      <w:r>
        <w:t xml:space="preserve">In addition, since broadcast OSI also support </w:t>
      </w:r>
      <w:r w:rsidRPr="00981693">
        <w:t>non-slot based PDSCH transmissions</w:t>
      </w:r>
      <w:r>
        <w:t xml:space="preserve">, it is natural for OSI delivery to support multiplexing patterns (i.e., “Pattern 1”, “Pattern 2”, “Pattern 3”) which are originally defined for </w:t>
      </w:r>
      <w:r w:rsidRPr="00C43E3A">
        <w:t xml:space="preserve">multiplexing </w:t>
      </w:r>
      <w:r>
        <w:t xml:space="preserve">between </w:t>
      </w:r>
      <w:r w:rsidRPr="00C43E3A">
        <w:t>SS/PBCH and RMSI CORESET</w:t>
      </w:r>
      <w:r>
        <w:t xml:space="preserve">. </w:t>
      </w:r>
    </w:p>
    <w:p w14:paraId="5C35177F" w14:textId="77777777" w:rsidR="00A675F1" w:rsidRDefault="00A675F1" w:rsidP="00A675F1">
      <w:pPr>
        <w:pStyle w:val="a7"/>
        <w:keepNext/>
        <w:spacing w:after="0"/>
      </w:pPr>
      <w:bookmarkStart w:id="3" w:name="_Ref503259860"/>
      <w:r>
        <w:t xml:space="preserve">TABLE </w:t>
      </w:r>
      <w:r>
        <w:fldChar w:fldCharType="begin"/>
      </w:r>
      <w:r>
        <w:instrText xml:space="preserve"> SEQ TABLE \* ARABIC </w:instrText>
      </w:r>
      <w:r>
        <w:fldChar w:fldCharType="separate"/>
      </w:r>
      <w:r>
        <w:rPr>
          <w:noProof/>
        </w:rPr>
        <w:t>1</w:t>
      </w:r>
      <w:r>
        <w:fldChar w:fldCharType="end"/>
      </w:r>
      <w:bookmarkEnd w:id="3"/>
    </w:p>
    <w:tbl>
      <w:tblPr>
        <w:tblW w:w="9735" w:type="dxa"/>
        <w:tblInd w:w="93" w:type="dxa"/>
        <w:tblLook w:val="04A0" w:firstRow="1" w:lastRow="0" w:firstColumn="1" w:lastColumn="0" w:noHBand="0" w:noVBand="1"/>
      </w:tblPr>
      <w:tblGrid>
        <w:gridCol w:w="2355"/>
        <w:gridCol w:w="1440"/>
        <w:gridCol w:w="1440"/>
        <w:gridCol w:w="4500"/>
      </w:tblGrid>
      <w:tr w:rsidR="00A675F1" w:rsidRPr="00A52060" w14:paraId="229EB916" w14:textId="77777777" w:rsidTr="005A23A9">
        <w:trPr>
          <w:trHeight w:val="402"/>
        </w:trPr>
        <w:tc>
          <w:tcPr>
            <w:tcW w:w="235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BD343F1"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Field</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72E273ED" w14:textId="77777777" w:rsidR="00A675F1" w:rsidRPr="00A52060" w:rsidRDefault="00A675F1" w:rsidP="005A23A9">
            <w:pPr>
              <w:spacing w:after="0"/>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1</w:t>
            </w:r>
          </w:p>
        </w:tc>
        <w:tc>
          <w:tcPr>
            <w:tcW w:w="1440" w:type="dxa"/>
            <w:tcBorders>
              <w:top w:val="single" w:sz="8" w:space="0" w:color="auto"/>
              <w:left w:val="nil"/>
              <w:bottom w:val="single" w:sz="8" w:space="0" w:color="auto"/>
              <w:right w:val="single" w:sz="8" w:space="0" w:color="auto"/>
            </w:tcBorders>
            <w:shd w:val="clear" w:color="000000" w:fill="D9D9D9"/>
            <w:vAlign w:val="center"/>
            <w:hideMark/>
          </w:tcPr>
          <w:p w14:paraId="74864334" w14:textId="77777777" w:rsidR="00A675F1" w:rsidRPr="00A52060" w:rsidRDefault="00A675F1" w:rsidP="005A23A9">
            <w:pPr>
              <w:spacing w:after="0"/>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2 and 3</w:t>
            </w:r>
          </w:p>
        </w:tc>
        <w:tc>
          <w:tcPr>
            <w:tcW w:w="4500" w:type="dxa"/>
            <w:tcBorders>
              <w:top w:val="single" w:sz="8" w:space="0" w:color="auto"/>
              <w:left w:val="nil"/>
              <w:bottom w:val="single" w:sz="8" w:space="0" w:color="auto"/>
              <w:right w:val="single" w:sz="8" w:space="0" w:color="auto"/>
            </w:tcBorders>
            <w:shd w:val="clear" w:color="000000" w:fill="D9D9D9"/>
            <w:vAlign w:val="center"/>
            <w:hideMark/>
          </w:tcPr>
          <w:p w14:paraId="5DCD28AF"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Comments</w:t>
            </w:r>
          </w:p>
        </w:tc>
      </w:tr>
      <w:tr w:rsidR="00A675F1" w:rsidRPr="00A52060" w14:paraId="6E8F2D16"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E2F4FF8"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Header</w:t>
            </w:r>
          </w:p>
        </w:tc>
        <w:tc>
          <w:tcPr>
            <w:tcW w:w="1440" w:type="dxa"/>
            <w:tcBorders>
              <w:top w:val="nil"/>
              <w:left w:val="nil"/>
              <w:bottom w:val="single" w:sz="8" w:space="0" w:color="auto"/>
              <w:right w:val="single" w:sz="8" w:space="0" w:color="auto"/>
            </w:tcBorders>
            <w:shd w:val="clear" w:color="auto" w:fill="auto"/>
            <w:noWrap/>
            <w:vAlign w:val="center"/>
            <w:hideMark/>
          </w:tcPr>
          <w:p w14:paraId="381BA1CE"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171B24F8"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0765FC5D" w14:textId="5E2D6FDB"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50E0A5F3"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5C192C4"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Carrier indicator</w:t>
            </w:r>
          </w:p>
        </w:tc>
        <w:tc>
          <w:tcPr>
            <w:tcW w:w="1440" w:type="dxa"/>
            <w:tcBorders>
              <w:top w:val="nil"/>
              <w:left w:val="nil"/>
              <w:bottom w:val="single" w:sz="8" w:space="0" w:color="auto"/>
              <w:right w:val="single" w:sz="8" w:space="0" w:color="auto"/>
            </w:tcBorders>
            <w:shd w:val="clear" w:color="auto" w:fill="auto"/>
            <w:noWrap/>
            <w:vAlign w:val="center"/>
            <w:hideMark/>
          </w:tcPr>
          <w:p w14:paraId="6E2820B9"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147C49E7"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7F2BDD95" w14:textId="5A91B603"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48CFC5AD"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54B28D4"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BWP indicator</w:t>
            </w:r>
          </w:p>
        </w:tc>
        <w:tc>
          <w:tcPr>
            <w:tcW w:w="1440" w:type="dxa"/>
            <w:tcBorders>
              <w:top w:val="nil"/>
              <w:left w:val="nil"/>
              <w:bottom w:val="single" w:sz="8" w:space="0" w:color="auto"/>
              <w:right w:val="single" w:sz="8" w:space="0" w:color="auto"/>
            </w:tcBorders>
            <w:shd w:val="clear" w:color="auto" w:fill="auto"/>
            <w:vAlign w:val="center"/>
            <w:hideMark/>
          </w:tcPr>
          <w:p w14:paraId="3F6A26C8"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665E915C"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54FB53EE" w14:textId="23007306"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4F5C165B"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5DF4D1F"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Frequency-domain PDSCH resources</w:t>
            </w:r>
          </w:p>
        </w:tc>
        <w:tc>
          <w:tcPr>
            <w:tcW w:w="1440" w:type="dxa"/>
            <w:tcBorders>
              <w:top w:val="nil"/>
              <w:left w:val="nil"/>
              <w:bottom w:val="single" w:sz="8" w:space="0" w:color="auto"/>
              <w:right w:val="single" w:sz="8" w:space="0" w:color="auto"/>
            </w:tcBorders>
            <w:shd w:val="clear" w:color="auto" w:fill="auto"/>
            <w:noWrap/>
            <w:vAlign w:val="center"/>
            <w:hideMark/>
          </w:tcPr>
          <w:p w14:paraId="429E7ED8" w14:textId="77777777" w:rsidR="00A675F1" w:rsidRPr="00A52060" w:rsidRDefault="00A675F1" w:rsidP="005A23A9">
            <w:pPr>
              <w:spacing w:after="0"/>
              <w:jc w:val="both"/>
              <w:rPr>
                <w:rFonts w:eastAsia="Times New Roman"/>
                <w:color w:val="000000"/>
                <w:lang w:val="en-US" w:eastAsia="zh-CN"/>
              </w:rPr>
            </w:pPr>
            <w:r>
              <w:rPr>
                <w:rFonts w:ascii="Calibri" w:eastAsia="Times New Roman" w:hAnsi="Calibri"/>
                <w:color w:val="000000"/>
                <w:lang w:eastAsia="zh-CN"/>
              </w:rPr>
              <w:t>≤</w:t>
            </w:r>
            <w:r>
              <w:rPr>
                <w:rFonts w:eastAsia="Times New Roman"/>
                <w:color w:val="000000"/>
                <w:lang w:eastAsia="zh-CN"/>
              </w:rPr>
              <w:t>8</w:t>
            </w:r>
          </w:p>
        </w:tc>
        <w:tc>
          <w:tcPr>
            <w:tcW w:w="1440" w:type="dxa"/>
            <w:tcBorders>
              <w:top w:val="nil"/>
              <w:left w:val="nil"/>
              <w:bottom w:val="single" w:sz="8" w:space="0" w:color="auto"/>
              <w:right w:val="single" w:sz="8" w:space="0" w:color="auto"/>
            </w:tcBorders>
            <w:shd w:val="clear" w:color="auto" w:fill="auto"/>
            <w:vAlign w:val="center"/>
            <w:hideMark/>
          </w:tcPr>
          <w:p w14:paraId="5575037A"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05134574" w14:textId="77777777"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Only RA type 1 is supported for Pattern 1, and hard-coded for Pattern 2 and 3</w:t>
            </w:r>
          </w:p>
        </w:tc>
      </w:tr>
      <w:tr w:rsidR="00A675F1" w:rsidRPr="00A52060" w14:paraId="00BD0696"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1AD28923"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Time-domain PDSCH resources</w:t>
            </w:r>
          </w:p>
        </w:tc>
        <w:tc>
          <w:tcPr>
            <w:tcW w:w="1440" w:type="dxa"/>
            <w:tcBorders>
              <w:top w:val="nil"/>
              <w:left w:val="nil"/>
              <w:bottom w:val="single" w:sz="8" w:space="0" w:color="auto"/>
              <w:right w:val="single" w:sz="8" w:space="0" w:color="auto"/>
            </w:tcBorders>
            <w:shd w:val="clear" w:color="auto" w:fill="auto"/>
            <w:vAlign w:val="center"/>
            <w:hideMark/>
          </w:tcPr>
          <w:p w14:paraId="19E3C2A8" w14:textId="77777777" w:rsidR="00A675F1" w:rsidRPr="00A52060" w:rsidRDefault="00A675F1" w:rsidP="005A23A9">
            <w:pPr>
              <w:spacing w:after="0"/>
              <w:jc w:val="both"/>
              <w:rPr>
                <w:rFonts w:eastAsia="Times New Roman"/>
                <w:color w:val="000000"/>
                <w:lang w:val="en-US" w:eastAsia="zh-CN"/>
              </w:rPr>
            </w:pPr>
            <w:r>
              <w:rPr>
                <w:rFonts w:ascii="Calibri" w:eastAsia="Times New Roman" w:hAnsi="Calibri"/>
                <w:color w:val="000000"/>
                <w:lang w:val="en-US" w:eastAsia="zh-CN"/>
              </w:rPr>
              <w:t>≤</w:t>
            </w:r>
            <w:r>
              <w:rPr>
                <w:rFonts w:eastAsia="Times New Roman"/>
                <w:color w:val="000000"/>
                <w:lang w:val="en-US" w:eastAsia="zh-CN"/>
              </w:rPr>
              <w:t>2</w:t>
            </w:r>
          </w:p>
        </w:tc>
        <w:tc>
          <w:tcPr>
            <w:tcW w:w="1440" w:type="dxa"/>
            <w:tcBorders>
              <w:top w:val="nil"/>
              <w:left w:val="nil"/>
              <w:bottom w:val="single" w:sz="8" w:space="0" w:color="auto"/>
              <w:right w:val="single" w:sz="8" w:space="0" w:color="auto"/>
            </w:tcBorders>
            <w:shd w:val="clear" w:color="auto" w:fill="auto"/>
            <w:vAlign w:val="center"/>
            <w:hideMark/>
          </w:tcPr>
          <w:p w14:paraId="51AF70AF"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5282D89E" w14:textId="77777777"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 xml:space="preserve">Subset of the </w:t>
            </w:r>
            <w:r>
              <w:rPr>
                <w:rFonts w:eastAsia="Times New Roman"/>
                <w:color w:val="000000"/>
              </w:rPr>
              <w:t>t</w:t>
            </w:r>
            <w:r>
              <w:rPr>
                <w:rFonts w:eastAsia="Times New Roman" w:hint="eastAsia"/>
                <w:color w:val="000000"/>
              </w:rPr>
              <w:t xml:space="preserve">ime-domain PDSCH </w:t>
            </w:r>
            <w:r>
              <w:rPr>
                <w:rFonts w:eastAsia="Times New Roman"/>
                <w:color w:val="000000"/>
              </w:rPr>
              <w:t xml:space="preserve">resources </w:t>
            </w:r>
            <w:r>
              <w:rPr>
                <w:rFonts w:eastAsia="Times New Roman"/>
                <w:color w:val="000000"/>
                <w:lang w:eastAsia="zh-CN"/>
              </w:rPr>
              <w:t>table for Pattern 1, and hard-coded for Pattern 2 and 3</w:t>
            </w:r>
          </w:p>
        </w:tc>
      </w:tr>
      <w:tr w:rsidR="00A675F1" w:rsidRPr="00A52060" w14:paraId="4C02C65C"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EB24C28"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VRB-to-PRB mapping</w:t>
            </w:r>
          </w:p>
        </w:tc>
        <w:tc>
          <w:tcPr>
            <w:tcW w:w="1440" w:type="dxa"/>
            <w:tcBorders>
              <w:top w:val="nil"/>
              <w:left w:val="nil"/>
              <w:bottom w:val="single" w:sz="8" w:space="0" w:color="auto"/>
              <w:right w:val="single" w:sz="8" w:space="0" w:color="auto"/>
            </w:tcBorders>
            <w:shd w:val="clear" w:color="auto" w:fill="auto"/>
            <w:vAlign w:val="center"/>
            <w:hideMark/>
          </w:tcPr>
          <w:p w14:paraId="4920860E"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FC39F46" w14:textId="77777777"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0EC2389E" w14:textId="77777777" w:rsidR="00A675F1" w:rsidRPr="00A52060" w:rsidRDefault="00A675F1" w:rsidP="005A23A9">
            <w:pPr>
              <w:spacing w:after="0"/>
              <w:jc w:val="both"/>
              <w:rPr>
                <w:rFonts w:eastAsia="Times New Roman"/>
                <w:color w:val="000000"/>
                <w:lang w:val="en-US" w:eastAsia="zh-CN"/>
              </w:rPr>
            </w:pPr>
            <w:r>
              <w:rPr>
                <w:rFonts w:eastAsia="SimSun"/>
                <w:lang w:eastAsia="zh-CN"/>
              </w:rPr>
              <w:t>Only distributed mapping is supported, and the bundling size is hard-coded</w:t>
            </w:r>
          </w:p>
        </w:tc>
      </w:tr>
      <w:tr w:rsidR="00A675F1" w:rsidRPr="00A52060" w14:paraId="2BCCA78A"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180A3C5"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Reserved resource set on/off</w:t>
            </w:r>
          </w:p>
        </w:tc>
        <w:tc>
          <w:tcPr>
            <w:tcW w:w="1440" w:type="dxa"/>
            <w:tcBorders>
              <w:top w:val="nil"/>
              <w:left w:val="nil"/>
              <w:bottom w:val="single" w:sz="8" w:space="0" w:color="auto"/>
              <w:right w:val="single" w:sz="8" w:space="0" w:color="auto"/>
            </w:tcBorders>
            <w:shd w:val="clear" w:color="auto" w:fill="auto"/>
            <w:vAlign w:val="center"/>
            <w:hideMark/>
          </w:tcPr>
          <w:p w14:paraId="5F178911"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4F23C7A"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7C06CBFD" w14:textId="6349702A"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219A028F"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5443212"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Bundling size indicator</w:t>
            </w:r>
          </w:p>
        </w:tc>
        <w:tc>
          <w:tcPr>
            <w:tcW w:w="1440" w:type="dxa"/>
            <w:tcBorders>
              <w:top w:val="nil"/>
              <w:left w:val="nil"/>
              <w:bottom w:val="single" w:sz="8" w:space="0" w:color="auto"/>
              <w:right w:val="single" w:sz="8" w:space="0" w:color="auto"/>
            </w:tcBorders>
            <w:shd w:val="clear" w:color="auto" w:fill="auto"/>
            <w:vAlign w:val="center"/>
            <w:hideMark/>
          </w:tcPr>
          <w:p w14:paraId="0441CDAF"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6B7C70B0"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1FFC0008" w14:textId="1360E3F0"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Hard-coded for RMSI</w:t>
            </w:r>
            <w:r w:rsidR="00DC5B50">
              <w:rPr>
                <w:rFonts w:eastAsia="Times New Roman"/>
                <w:color w:val="000000"/>
                <w:lang w:eastAsia="zh-CN"/>
              </w:rPr>
              <w:t>/OSI</w:t>
            </w:r>
          </w:p>
        </w:tc>
      </w:tr>
      <w:tr w:rsidR="00A675F1" w:rsidRPr="00A52060" w14:paraId="4CD47A8D"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C60DEA6"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 xml:space="preserve">Modulation and coding scheme </w:t>
            </w:r>
          </w:p>
        </w:tc>
        <w:tc>
          <w:tcPr>
            <w:tcW w:w="1440" w:type="dxa"/>
            <w:tcBorders>
              <w:top w:val="nil"/>
              <w:left w:val="nil"/>
              <w:bottom w:val="single" w:sz="8" w:space="0" w:color="auto"/>
              <w:right w:val="single" w:sz="8" w:space="0" w:color="auto"/>
            </w:tcBorders>
            <w:shd w:val="clear" w:color="auto" w:fill="auto"/>
            <w:noWrap/>
            <w:vAlign w:val="center"/>
            <w:hideMark/>
          </w:tcPr>
          <w:p w14:paraId="1B4A50B6" w14:textId="77777777"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&lt;5</w:t>
            </w:r>
          </w:p>
        </w:tc>
        <w:tc>
          <w:tcPr>
            <w:tcW w:w="1440" w:type="dxa"/>
            <w:tcBorders>
              <w:top w:val="nil"/>
              <w:left w:val="nil"/>
              <w:bottom w:val="single" w:sz="8" w:space="0" w:color="auto"/>
              <w:right w:val="single" w:sz="8" w:space="0" w:color="auto"/>
            </w:tcBorders>
            <w:shd w:val="clear" w:color="auto" w:fill="auto"/>
            <w:vAlign w:val="center"/>
            <w:hideMark/>
          </w:tcPr>
          <w:p w14:paraId="0D0717C2" w14:textId="77777777"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&lt;5</w:t>
            </w:r>
          </w:p>
        </w:tc>
        <w:tc>
          <w:tcPr>
            <w:tcW w:w="4500" w:type="dxa"/>
            <w:tcBorders>
              <w:top w:val="nil"/>
              <w:left w:val="nil"/>
              <w:bottom w:val="single" w:sz="8" w:space="0" w:color="auto"/>
              <w:right w:val="single" w:sz="8" w:space="0" w:color="auto"/>
            </w:tcBorders>
            <w:shd w:val="clear" w:color="auto" w:fill="auto"/>
            <w:vAlign w:val="center"/>
            <w:hideMark/>
          </w:tcPr>
          <w:p w14:paraId="64272572" w14:textId="77777777"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 xml:space="preserve">Subset of the MCS table </w:t>
            </w:r>
          </w:p>
        </w:tc>
      </w:tr>
      <w:tr w:rsidR="00A675F1" w:rsidRPr="00A52060" w14:paraId="260C8958"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E6E61E5"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New data indicator</w:t>
            </w:r>
          </w:p>
        </w:tc>
        <w:tc>
          <w:tcPr>
            <w:tcW w:w="1440" w:type="dxa"/>
            <w:tcBorders>
              <w:top w:val="nil"/>
              <w:left w:val="nil"/>
              <w:bottom w:val="single" w:sz="8" w:space="0" w:color="auto"/>
              <w:right w:val="single" w:sz="8" w:space="0" w:color="auto"/>
            </w:tcBorders>
            <w:shd w:val="clear" w:color="auto" w:fill="auto"/>
            <w:noWrap/>
            <w:vAlign w:val="center"/>
            <w:hideMark/>
          </w:tcPr>
          <w:p w14:paraId="3BAE4C88"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8BADC0B"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23985549" w14:textId="07151827"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541B81A7"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49FDB4CF"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Redundancy version</w:t>
            </w:r>
          </w:p>
        </w:tc>
        <w:tc>
          <w:tcPr>
            <w:tcW w:w="1440" w:type="dxa"/>
            <w:tcBorders>
              <w:top w:val="nil"/>
              <w:left w:val="nil"/>
              <w:bottom w:val="single" w:sz="8" w:space="0" w:color="auto"/>
              <w:right w:val="single" w:sz="8" w:space="0" w:color="auto"/>
            </w:tcBorders>
            <w:shd w:val="clear" w:color="auto" w:fill="auto"/>
            <w:noWrap/>
            <w:vAlign w:val="center"/>
            <w:hideMark/>
          </w:tcPr>
          <w:p w14:paraId="250E39C0"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DCA3858"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41E04749" w14:textId="4F4C38DA"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7C0E0EC7"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E49BE1B"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Modulation and coding scheme, second CW</w:t>
            </w:r>
          </w:p>
        </w:tc>
        <w:tc>
          <w:tcPr>
            <w:tcW w:w="1440" w:type="dxa"/>
            <w:tcBorders>
              <w:top w:val="nil"/>
              <w:left w:val="nil"/>
              <w:bottom w:val="single" w:sz="8" w:space="0" w:color="auto"/>
              <w:right w:val="single" w:sz="8" w:space="0" w:color="auto"/>
            </w:tcBorders>
            <w:shd w:val="clear" w:color="auto" w:fill="auto"/>
            <w:noWrap/>
            <w:vAlign w:val="center"/>
            <w:hideMark/>
          </w:tcPr>
          <w:p w14:paraId="2E0EF4DD"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ED4A113"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0E3400C4" w14:textId="3A2DF53D"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3E32115D"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4259F59C"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New data indicator, second CW</w:t>
            </w:r>
          </w:p>
        </w:tc>
        <w:tc>
          <w:tcPr>
            <w:tcW w:w="1440" w:type="dxa"/>
            <w:tcBorders>
              <w:top w:val="nil"/>
              <w:left w:val="nil"/>
              <w:bottom w:val="single" w:sz="8" w:space="0" w:color="auto"/>
              <w:right w:val="single" w:sz="8" w:space="0" w:color="auto"/>
            </w:tcBorders>
            <w:shd w:val="clear" w:color="auto" w:fill="auto"/>
            <w:noWrap/>
            <w:vAlign w:val="center"/>
            <w:hideMark/>
          </w:tcPr>
          <w:p w14:paraId="10302B54"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2FAFE33"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11F6A559" w14:textId="1025EA2C"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4DBFD57B"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1D0E1F2"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lastRenderedPageBreak/>
              <w:t>Redundancy version, second CW</w:t>
            </w:r>
          </w:p>
        </w:tc>
        <w:tc>
          <w:tcPr>
            <w:tcW w:w="1440" w:type="dxa"/>
            <w:tcBorders>
              <w:top w:val="nil"/>
              <w:left w:val="nil"/>
              <w:bottom w:val="single" w:sz="8" w:space="0" w:color="auto"/>
              <w:right w:val="single" w:sz="8" w:space="0" w:color="auto"/>
            </w:tcBorders>
            <w:shd w:val="clear" w:color="auto" w:fill="auto"/>
            <w:noWrap/>
            <w:vAlign w:val="center"/>
            <w:hideMark/>
          </w:tcPr>
          <w:p w14:paraId="6578CD7D"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667026AC"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778894C2" w14:textId="199558A1"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521E24F5"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36DA507"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 xml:space="preserve">HARQ process number </w:t>
            </w:r>
          </w:p>
        </w:tc>
        <w:tc>
          <w:tcPr>
            <w:tcW w:w="1440" w:type="dxa"/>
            <w:tcBorders>
              <w:top w:val="nil"/>
              <w:left w:val="nil"/>
              <w:bottom w:val="single" w:sz="8" w:space="0" w:color="auto"/>
              <w:right w:val="single" w:sz="8" w:space="0" w:color="auto"/>
            </w:tcBorders>
            <w:shd w:val="clear" w:color="auto" w:fill="auto"/>
            <w:noWrap/>
            <w:vAlign w:val="center"/>
            <w:hideMark/>
          </w:tcPr>
          <w:p w14:paraId="3060D31D"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D8FC3A6"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5F516F0D" w14:textId="1175C646"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630FBE94"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97C9FAC"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CBGFI</w:t>
            </w:r>
          </w:p>
        </w:tc>
        <w:tc>
          <w:tcPr>
            <w:tcW w:w="1440" w:type="dxa"/>
            <w:tcBorders>
              <w:top w:val="nil"/>
              <w:left w:val="nil"/>
              <w:bottom w:val="single" w:sz="8" w:space="0" w:color="auto"/>
              <w:right w:val="single" w:sz="8" w:space="0" w:color="auto"/>
            </w:tcBorders>
            <w:shd w:val="clear" w:color="auto" w:fill="auto"/>
            <w:noWrap/>
            <w:vAlign w:val="center"/>
            <w:hideMark/>
          </w:tcPr>
          <w:p w14:paraId="6D066D10"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A92E803"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60DB95D4" w14:textId="6E441E3B"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56E4F557"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E0F286D"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CBGTI</w:t>
            </w:r>
          </w:p>
        </w:tc>
        <w:tc>
          <w:tcPr>
            <w:tcW w:w="1440" w:type="dxa"/>
            <w:tcBorders>
              <w:top w:val="nil"/>
              <w:left w:val="nil"/>
              <w:bottom w:val="single" w:sz="8" w:space="0" w:color="auto"/>
              <w:right w:val="single" w:sz="8" w:space="0" w:color="auto"/>
            </w:tcBorders>
            <w:shd w:val="clear" w:color="auto" w:fill="auto"/>
            <w:noWrap/>
            <w:vAlign w:val="center"/>
            <w:hideMark/>
          </w:tcPr>
          <w:p w14:paraId="568ED6AE"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40CEBF6E"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5692C038" w14:textId="46489D1E"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4DD4F38E"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8A4F202"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 xml:space="preserve">TPC command for PUCCH </w:t>
            </w:r>
          </w:p>
        </w:tc>
        <w:tc>
          <w:tcPr>
            <w:tcW w:w="1440" w:type="dxa"/>
            <w:tcBorders>
              <w:top w:val="nil"/>
              <w:left w:val="nil"/>
              <w:bottom w:val="single" w:sz="8" w:space="0" w:color="auto"/>
              <w:right w:val="single" w:sz="8" w:space="0" w:color="auto"/>
            </w:tcBorders>
            <w:shd w:val="clear" w:color="auto" w:fill="auto"/>
            <w:noWrap/>
            <w:vAlign w:val="center"/>
            <w:hideMark/>
          </w:tcPr>
          <w:p w14:paraId="5AE503AD"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1ECAF298"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6AC97686" w14:textId="6AC06016"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2D9FF62C"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7D90789B"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ARI (ACK/NAK Resource Index)</w:t>
            </w:r>
          </w:p>
        </w:tc>
        <w:tc>
          <w:tcPr>
            <w:tcW w:w="1440" w:type="dxa"/>
            <w:tcBorders>
              <w:top w:val="nil"/>
              <w:left w:val="nil"/>
              <w:bottom w:val="single" w:sz="8" w:space="0" w:color="auto"/>
              <w:right w:val="single" w:sz="8" w:space="0" w:color="auto"/>
            </w:tcBorders>
            <w:shd w:val="clear" w:color="auto" w:fill="auto"/>
            <w:noWrap/>
            <w:vAlign w:val="center"/>
            <w:hideMark/>
          </w:tcPr>
          <w:p w14:paraId="2A6FD356"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1F0B5BFE"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11D4D945" w14:textId="7133242D"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14EB5454"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CB3C21C"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HARQ timing indicator</w:t>
            </w:r>
          </w:p>
        </w:tc>
        <w:tc>
          <w:tcPr>
            <w:tcW w:w="1440" w:type="dxa"/>
            <w:tcBorders>
              <w:top w:val="nil"/>
              <w:left w:val="nil"/>
              <w:bottom w:val="single" w:sz="8" w:space="0" w:color="auto"/>
              <w:right w:val="single" w:sz="8" w:space="0" w:color="auto"/>
            </w:tcBorders>
            <w:shd w:val="clear" w:color="auto" w:fill="auto"/>
            <w:noWrap/>
            <w:vAlign w:val="center"/>
            <w:hideMark/>
          </w:tcPr>
          <w:p w14:paraId="472A9AFE"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4888CEA0"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436BAD7C" w14:textId="51FFB9AC"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759198A0"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30ECBAC"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 xml:space="preserve">Downlink Assignment Index </w:t>
            </w:r>
          </w:p>
        </w:tc>
        <w:tc>
          <w:tcPr>
            <w:tcW w:w="1440" w:type="dxa"/>
            <w:tcBorders>
              <w:top w:val="nil"/>
              <w:left w:val="nil"/>
              <w:bottom w:val="single" w:sz="8" w:space="0" w:color="auto"/>
              <w:right w:val="single" w:sz="8" w:space="0" w:color="auto"/>
            </w:tcBorders>
            <w:shd w:val="clear" w:color="auto" w:fill="auto"/>
            <w:noWrap/>
            <w:vAlign w:val="center"/>
            <w:hideMark/>
          </w:tcPr>
          <w:p w14:paraId="09A83EF5"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1683FCB2"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6081FB46" w14:textId="5A82E7E8"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1706B10F"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D99170D"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Antenna port(</w:t>
            </w:r>
            <w:bookmarkStart w:id="4" w:name="_GoBack"/>
            <w:bookmarkEnd w:id="4"/>
            <w:r w:rsidRPr="00A52060">
              <w:rPr>
                <w:rFonts w:eastAsia="Times New Roman"/>
                <w:color w:val="000000"/>
                <w:lang w:eastAsia="zh-CN"/>
              </w:rPr>
              <w:t>s)</w:t>
            </w:r>
          </w:p>
        </w:tc>
        <w:tc>
          <w:tcPr>
            <w:tcW w:w="1440" w:type="dxa"/>
            <w:tcBorders>
              <w:top w:val="nil"/>
              <w:left w:val="nil"/>
              <w:bottom w:val="single" w:sz="8" w:space="0" w:color="auto"/>
              <w:right w:val="single" w:sz="8" w:space="0" w:color="auto"/>
            </w:tcBorders>
            <w:shd w:val="clear" w:color="auto" w:fill="auto"/>
            <w:noWrap/>
            <w:vAlign w:val="center"/>
            <w:hideMark/>
          </w:tcPr>
          <w:p w14:paraId="25164157"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61D56492"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52801732" w14:textId="6B0782C0"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r w:rsidR="00A675F1" w:rsidRPr="00A52060" w14:paraId="19960742" w14:textId="77777777" w:rsidTr="005A23A9">
        <w:trPr>
          <w:trHeight w:val="402"/>
        </w:trPr>
        <w:tc>
          <w:tcPr>
            <w:tcW w:w="235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C34265"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TCI (Transmission Configuration Indication)</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3BD71481"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453A5D6C"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single" w:sz="8" w:space="0" w:color="auto"/>
              <w:left w:val="nil"/>
              <w:bottom w:val="single" w:sz="8" w:space="0" w:color="auto"/>
              <w:right w:val="single" w:sz="8" w:space="0" w:color="auto"/>
            </w:tcBorders>
            <w:shd w:val="clear" w:color="auto" w:fill="auto"/>
            <w:vAlign w:val="center"/>
            <w:hideMark/>
          </w:tcPr>
          <w:p w14:paraId="6B1ED9CA" w14:textId="1A2FE6EE"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Not needed for DCI format for RMSI</w:t>
            </w:r>
            <w:r w:rsidR="00DC5B50">
              <w:rPr>
                <w:rFonts w:eastAsia="Times New Roman"/>
                <w:color w:val="000000"/>
                <w:lang w:eastAsia="zh-CN"/>
              </w:rPr>
              <w:t>/OSI</w:t>
            </w:r>
          </w:p>
        </w:tc>
      </w:tr>
    </w:tbl>
    <w:p w14:paraId="2BA11F9B" w14:textId="77777777" w:rsidR="00A675F1" w:rsidRPr="00B914B2" w:rsidRDefault="00A675F1" w:rsidP="00A675F1">
      <w:pPr>
        <w:jc w:val="both"/>
        <w:rPr>
          <w:b/>
          <w:sz w:val="2"/>
          <w:u w:val="single"/>
          <w:lang w:val="en-US"/>
        </w:rPr>
      </w:pPr>
    </w:p>
    <w:p w14:paraId="5F4652BA" w14:textId="308BD840" w:rsidR="00A675F1" w:rsidRPr="00172036" w:rsidRDefault="00A675F1" w:rsidP="00A675F1">
      <w:pPr>
        <w:jc w:val="both"/>
        <w:rPr>
          <w:b/>
          <w:u w:val="single"/>
          <w:lang w:val="en-US"/>
        </w:rPr>
      </w:pPr>
      <w:r w:rsidRPr="00172036">
        <w:rPr>
          <w:b/>
          <w:u w:val="single"/>
          <w:lang w:val="en-US"/>
        </w:rPr>
        <w:t>Proposal: The DCI contents of the compact DCI format for RMSI</w:t>
      </w:r>
      <w:r w:rsidR="00B42393">
        <w:rPr>
          <w:b/>
          <w:u w:val="single"/>
          <w:lang w:val="en-US"/>
        </w:rPr>
        <w:t>/OSI</w:t>
      </w:r>
      <w:r w:rsidRPr="00172036">
        <w:rPr>
          <w:b/>
          <w:u w:val="single"/>
          <w:lang w:val="en-US"/>
        </w:rPr>
        <w:t xml:space="preserve"> are </w:t>
      </w:r>
      <w:r>
        <w:rPr>
          <w:b/>
          <w:u w:val="single"/>
          <w:lang w:val="en-US"/>
        </w:rPr>
        <w:t>determined</w:t>
      </w:r>
      <w:r w:rsidRPr="00172036">
        <w:rPr>
          <w:b/>
          <w:u w:val="single"/>
          <w:lang w:val="en-US"/>
        </w:rPr>
        <w:t xml:space="preserve"> per SS/PBCH block and CORESET multiplexing pattern as in the following table.</w:t>
      </w:r>
    </w:p>
    <w:tbl>
      <w:tblPr>
        <w:tblW w:w="9735" w:type="dxa"/>
        <w:tblInd w:w="93" w:type="dxa"/>
        <w:tblLook w:val="04A0" w:firstRow="1" w:lastRow="0" w:firstColumn="1" w:lastColumn="0" w:noHBand="0" w:noVBand="1"/>
      </w:tblPr>
      <w:tblGrid>
        <w:gridCol w:w="4379"/>
        <w:gridCol w:w="2678"/>
        <w:gridCol w:w="2678"/>
      </w:tblGrid>
      <w:tr w:rsidR="00A675F1" w:rsidRPr="00A52060" w14:paraId="36801C07" w14:textId="77777777" w:rsidTr="005A23A9">
        <w:trPr>
          <w:trHeight w:val="402"/>
        </w:trPr>
        <w:tc>
          <w:tcPr>
            <w:tcW w:w="235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7E0861C"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Field</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6B85A029" w14:textId="77777777" w:rsidR="00A675F1" w:rsidRPr="00A52060" w:rsidRDefault="00A675F1" w:rsidP="005A23A9">
            <w:pPr>
              <w:spacing w:after="0"/>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1</w:t>
            </w:r>
          </w:p>
        </w:tc>
        <w:tc>
          <w:tcPr>
            <w:tcW w:w="1440" w:type="dxa"/>
            <w:tcBorders>
              <w:top w:val="single" w:sz="8" w:space="0" w:color="auto"/>
              <w:left w:val="nil"/>
              <w:bottom w:val="single" w:sz="8" w:space="0" w:color="auto"/>
              <w:right w:val="single" w:sz="8" w:space="0" w:color="auto"/>
            </w:tcBorders>
            <w:shd w:val="clear" w:color="000000" w:fill="D9D9D9"/>
            <w:vAlign w:val="center"/>
            <w:hideMark/>
          </w:tcPr>
          <w:p w14:paraId="005E2362" w14:textId="77777777" w:rsidR="00A675F1" w:rsidRPr="00A52060" w:rsidRDefault="00A675F1" w:rsidP="005A23A9">
            <w:pPr>
              <w:spacing w:after="0"/>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2 and 3</w:t>
            </w:r>
          </w:p>
        </w:tc>
      </w:tr>
      <w:tr w:rsidR="00A675F1" w:rsidRPr="00A52060" w14:paraId="370FCF80"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BBFFF93"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Header</w:t>
            </w:r>
          </w:p>
        </w:tc>
        <w:tc>
          <w:tcPr>
            <w:tcW w:w="1440" w:type="dxa"/>
            <w:tcBorders>
              <w:top w:val="nil"/>
              <w:left w:val="nil"/>
              <w:bottom w:val="single" w:sz="8" w:space="0" w:color="auto"/>
              <w:right w:val="single" w:sz="8" w:space="0" w:color="auto"/>
            </w:tcBorders>
            <w:shd w:val="clear" w:color="auto" w:fill="auto"/>
            <w:noWrap/>
            <w:vAlign w:val="center"/>
            <w:hideMark/>
          </w:tcPr>
          <w:p w14:paraId="3FBC9A1F"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41716A82"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58F5C24F"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749825E8"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Carrier indicator</w:t>
            </w:r>
          </w:p>
        </w:tc>
        <w:tc>
          <w:tcPr>
            <w:tcW w:w="1440" w:type="dxa"/>
            <w:tcBorders>
              <w:top w:val="nil"/>
              <w:left w:val="nil"/>
              <w:bottom w:val="single" w:sz="8" w:space="0" w:color="auto"/>
              <w:right w:val="single" w:sz="8" w:space="0" w:color="auto"/>
            </w:tcBorders>
            <w:shd w:val="clear" w:color="auto" w:fill="auto"/>
            <w:noWrap/>
            <w:vAlign w:val="center"/>
            <w:hideMark/>
          </w:tcPr>
          <w:p w14:paraId="0BF32F45"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B691275"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23B9B489"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72C2631"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BWP indicator</w:t>
            </w:r>
          </w:p>
        </w:tc>
        <w:tc>
          <w:tcPr>
            <w:tcW w:w="1440" w:type="dxa"/>
            <w:tcBorders>
              <w:top w:val="nil"/>
              <w:left w:val="nil"/>
              <w:bottom w:val="single" w:sz="8" w:space="0" w:color="auto"/>
              <w:right w:val="single" w:sz="8" w:space="0" w:color="auto"/>
            </w:tcBorders>
            <w:shd w:val="clear" w:color="auto" w:fill="auto"/>
            <w:vAlign w:val="center"/>
            <w:hideMark/>
          </w:tcPr>
          <w:p w14:paraId="23C2094F"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65EBD791"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4F231330"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64FC3F6"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Frequency-domain PDSCH resources</w:t>
            </w:r>
          </w:p>
        </w:tc>
        <w:tc>
          <w:tcPr>
            <w:tcW w:w="1440" w:type="dxa"/>
            <w:tcBorders>
              <w:top w:val="nil"/>
              <w:left w:val="nil"/>
              <w:bottom w:val="single" w:sz="8" w:space="0" w:color="auto"/>
              <w:right w:val="single" w:sz="8" w:space="0" w:color="auto"/>
            </w:tcBorders>
            <w:shd w:val="clear" w:color="auto" w:fill="auto"/>
            <w:noWrap/>
            <w:vAlign w:val="center"/>
            <w:hideMark/>
          </w:tcPr>
          <w:p w14:paraId="5D1D8630" w14:textId="77777777" w:rsidR="00A675F1" w:rsidRPr="00A52060" w:rsidRDefault="00A675F1" w:rsidP="005A23A9">
            <w:pPr>
              <w:spacing w:after="0"/>
              <w:jc w:val="both"/>
              <w:rPr>
                <w:rFonts w:eastAsia="Times New Roman"/>
                <w:color w:val="000000"/>
                <w:lang w:val="en-US" w:eastAsia="zh-CN"/>
              </w:rPr>
            </w:pPr>
            <w:r>
              <w:rPr>
                <w:rFonts w:ascii="Calibri" w:eastAsia="Times New Roman" w:hAnsi="Calibri"/>
                <w:color w:val="000000"/>
                <w:lang w:eastAsia="zh-CN"/>
              </w:rPr>
              <w:t>≤</w:t>
            </w:r>
            <w:r>
              <w:rPr>
                <w:rFonts w:eastAsia="Times New Roman"/>
                <w:color w:val="000000"/>
                <w:lang w:eastAsia="zh-CN"/>
              </w:rPr>
              <w:t>8</w:t>
            </w:r>
          </w:p>
        </w:tc>
        <w:tc>
          <w:tcPr>
            <w:tcW w:w="1440" w:type="dxa"/>
            <w:tcBorders>
              <w:top w:val="nil"/>
              <w:left w:val="nil"/>
              <w:bottom w:val="single" w:sz="8" w:space="0" w:color="auto"/>
              <w:right w:val="single" w:sz="8" w:space="0" w:color="auto"/>
            </w:tcBorders>
            <w:shd w:val="clear" w:color="auto" w:fill="auto"/>
            <w:vAlign w:val="center"/>
            <w:hideMark/>
          </w:tcPr>
          <w:p w14:paraId="50B1C6C3"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731DAAE4"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FA3E4F1"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Time-domain PDSCH resources</w:t>
            </w:r>
          </w:p>
        </w:tc>
        <w:tc>
          <w:tcPr>
            <w:tcW w:w="1440" w:type="dxa"/>
            <w:tcBorders>
              <w:top w:val="nil"/>
              <w:left w:val="nil"/>
              <w:bottom w:val="single" w:sz="8" w:space="0" w:color="auto"/>
              <w:right w:val="single" w:sz="8" w:space="0" w:color="auto"/>
            </w:tcBorders>
            <w:shd w:val="clear" w:color="auto" w:fill="auto"/>
            <w:vAlign w:val="center"/>
            <w:hideMark/>
          </w:tcPr>
          <w:p w14:paraId="1D92B67D" w14:textId="77777777" w:rsidR="00A675F1" w:rsidRPr="00A52060" w:rsidRDefault="00A675F1" w:rsidP="005A23A9">
            <w:pPr>
              <w:spacing w:after="0"/>
              <w:jc w:val="both"/>
              <w:rPr>
                <w:rFonts w:eastAsia="Times New Roman"/>
                <w:color w:val="000000"/>
                <w:lang w:val="en-US" w:eastAsia="zh-CN"/>
              </w:rPr>
            </w:pPr>
            <w:r>
              <w:rPr>
                <w:rFonts w:ascii="Calibri" w:eastAsia="Times New Roman" w:hAnsi="Calibri"/>
                <w:color w:val="000000"/>
                <w:lang w:val="en-US" w:eastAsia="zh-CN"/>
              </w:rPr>
              <w:t>≤</w:t>
            </w:r>
            <w:r>
              <w:rPr>
                <w:rFonts w:eastAsia="Times New Roman"/>
                <w:color w:val="000000"/>
                <w:lang w:val="en-US" w:eastAsia="zh-CN"/>
              </w:rPr>
              <w:t>2</w:t>
            </w:r>
          </w:p>
        </w:tc>
        <w:tc>
          <w:tcPr>
            <w:tcW w:w="1440" w:type="dxa"/>
            <w:tcBorders>
              <w:top w:val="nil"/>
              <w:left w:val="nil"/>
              <w:bottom w:val="single" w:sz="8" w:space="0" w:color="auto"/>
              <w:right w:val="single" w:sz="8" w:space="0" w:color="auto"/>
            </w:tcBorders>
            <w:shd w:val="clear" w:color="auto" w:fill="auto"/>
            <w:vAlign w:val="center"/>
            <w:hideMark/>
          </w:tcPr>
          <w:p w14:paraId="206F9116"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7A0723CE"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431EBFB"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VRB-to-PRB mapping</w:t>
            </w:r>
          </w:p>
        </w:tc>
        <w:tc>
          <w:tcPr>
            <w:tcW w:w="1440" w:type="dxa"/>
            <w:tcBorders>
              <w:top w:val="nil"/>
              <w:left w:val="nil"/>
              <w:bottom w:val="single" w:sz="8" w:space="0" w:color="auto"/>
              <w:right w:val="single" w:sz="8" w:space="0" w:color="auto"/>
            </w:tcBorders>
            <w:shd w:val="clear" w:color="auto" w:fill="auto"/>
            <w:vAlign w:val="center"/>
            <w:hideMark/>
          </w:tcPr>
          <w:p w14:paraId="1A36DF77"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4627A58E" w14:textId="77777777"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0</w:t>
            </w:r>
          </w:p>
        </w:tc>
      </w:tr>
      <w:tr w:rsidR="00A675F1" w:rsidRPr="00A52060" w14:paraId="32F715F2"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7EF59343"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Reserved resource set on/off</w:t>
            </w:r>
          </w:p>
        </w:tc>
        <w:tc>
          <w:tcPr>
            <w:tcW w:w="1440" w:type="dxa"/>
            <w:tcBorders>
              <w:top w:val="nil"/>
              <w:left w:val="nil"/>
              <w:bottom w:val="single" w:sz="8" w:space="0" w:color="auto"/>
              <w:right w:val="single" w:sz="8" w:space="0" w:color="auto"/>
            </w:tcBorders>
            <w:shd w:val="clear" w:color="auto" w:fill="auto"/>
            <w:vAlign w:val="center"/>
            <w:hideMark/>
          </w:tcPr>
          <w:p w14:paraId="2E1F743E"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7BB2E97"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11AE574A"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4C11BC81"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Bundling size indicator</w:t>
            </w:r>
          </w:p>
        </w:tc>
        <w:tc>
          <w:tcPr>
            <w:tcW w:w="1440" w:type="dxa"/>
            <w:tcBorders>
              <w:top w:val="nil"/>
              <w:left w:val="nil"/>
              <w:bottom w:val="single" w:sz="8" w:space="0" w:color="auto"/>
              <w:right w:val="single" w:sz="8" w:space="0" w:color="auto"/>
            </w:tcBorders>
            <w:shd w:val="clear" w:color="auto" w:fill="auto"/>
            <w:vAlign w:val="center"/>
            <w:hideMark/>
          </w:tcPr>
          <w:p w14:paraId="5F7987AA"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545666B0"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0EEC1E9F"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8577431"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 xml:space="preserve">Modulation and coding scheme </w:t>
            </w:r>
          </w:p>
        </w:tc>
        <w:tc>
          <w:tcPr>
            <w:tcW w:w="1440" w:type="dxa"/>
            <w:tcBorders>
              <w:top w:val="nil"/>
              <w:left w:val="nil"/>
              <w:bottom w:val="single" w:sz="8" w:space="0" w:color="auto"/>
              <w:right w:val="single" w:sz="8" w:space="0" w:color="auto"/>
            </w:tcBorders>
            <w:shd w:val="clear" w:color="auto" w:fill="auto"/>
            <w:noWrap/>
            <w:vAlign w:val="center"/>
            <w:hideMark/>
          </w:tcPr>
          <w:p w14:paraId="7E11727C" w14:textId="77777777"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&lt;5</w:t>
            </w:r>
          </w:p>
        </w:tc>
        <w:tc>
          <w:tcPr>
            <w:tcW w:w="1440" w:type="dxa"/>
            <w:tcBorders>
              <w:top w:val="nil"/>
              <w:left w:val="nil"/>
              <w:bottom w:val="single" w:sz="8" w:space="0" w:color="auto"/>
              <w:right w:val="single" w:sz="8" w:space="0" w:color="auto"/>
            </w:tcBorders>
            <w:shd w:val="clear" w:color="auto" w:fill="auto"/>
            <w:vAlign w:val="center"/>
            <w:hideMark/>
          </w:tcPr>
          <w:p w14:paraId="7E61F475" w14:textId="77777777" w:rsidR="00A675F1" w:rsidRPr="00A52060" w:rsidRDefault="00A675F1" w:rsidP="005A23A9">
            <w:pPr>
              <w:spacing w:after="0"/>
              <w:jc w:val="both"/>
              <w:rPr>
                <w:rFonts w:eastAsia="Times New Roman"/>
                <w:color w:val="000000"/>
                <w:lang w:val="en-US" w:eastAsia="zh-CN"/>
              </w:rPr>
            </w:pPr>
            <w:r>
              <w:rPr>
                <w:rFonts w:eastAsia="Times New Roman"/>
                <w:color w:val="000000"/>
                <w:lang w:eastAsia="zh-CN"/>
              </w:rPr>
              <w:t>&lt;5</w:t>
            </w:r>
          </w:p>
        </w:tc>
      </w:tr>
      <w:tr w:rsidR="00A675F1" w:rsidRPr="00A52060" w14:paraId="636FC84C"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135F85D1"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New data indicator</w:t>
            </w:r>
          </w:p>
        </w:tc>
        <w:tc>
          <w:tcPr>
            <w:tcW w:w="1440" w:type="dxa"/>
            <w:tcBorders>
              <w:top w:val="nil"/>
              <w:left w:val="nil"/>
              <w:bottom w:val="single" w:sz="8" w:space="0" w:color="auto"/>
              <w:right w:val="single" w:sz="8" w:space="0" w:color="auto"/>
            </w:tcBorders>
            <w:shd w:val="clear" w:color="auto" w:fill="auto"/>
            <w:noWrap/>
            <w:vAlign w:val="center"/>
            <w:hideMark/>
          </w:tcPr>
          <w:p w14:paraId="529D646A"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B2206E7"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730F852F"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263F987"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Redundancy version</w:t>
            </w:r>
          </w:p>
        </w:tc>
        <w:tc>
          <w:tcPr>
            <w:tcW w:w="1440" w:type="dxa"/>
            <w:tcBorders>
              <w:top w:val="nil"/>
              <w:left w:val="nil"/>
              <w:bottom w:val="single" w:sz="8" w:space="0" w:color="auto"/>
              <w:right w:val="single" w:sz="8" w:space="0" w:color="auto"/>
            </w:tcBorders>
            <w:shd w:val="clear" w:color="auto" w:fill="auto"/>
            <w:noWrap/>
            <w:vAlign w:val="center"/>
            <w:hideMark/>
          </w:tcPr>
          <w:p w14:paraId="60689BCA"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82D75DE"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171FEE46"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5755D7A"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Modulation and coding scheme, second CW</w:t>
            </w:r>
          </w:p>
        </w:tc>
        <w:tc>
          <w:tcPr>
            <w:tcW w:w="1440" w:type="dxa"/>
            <w:tcBorders>
              <w:top w:val="nil"/>
              <w:left w:val="nil"/>
              <w:bottom w:val="single" w:sz="8" w:space="0" w:color="auto"/>
              <w:right w:val="single" w:sz="8" w:space="0" w:color="auto"/>
            </w:tcBorders>
            <w:shd w:val="clear" w:color="auto" w:fill="auto"/>
            <w:noWrap/>
            <w:vAlign w:val="center"/>
            <w:hideMark/>
          </w:tcPr>
          <w:p w14:paraId="728FDF78"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147CE9BF"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2FDBE5E5"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F04BB83"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New data indicator, second CW</w:t>
            </w:r>
          </w:p>
        </w:tc>
        <w:tc>
          <w:tcPr>
            <w:tcW w:w="1440" w:type="dxa"/>
            <w:tcBorders>
              <w:top w:val="nil"/>
              <w:left w:val="nil"/>
              <w:bottom w:val="single" w:sz="8" w:space="0" w:color="auto"/>
              <w:right w:val="single" w:sz="8" w:space="0" w:color="auto"/>
            </w:tcBorders>
            <w:shd w:val="clear" w:color="auto" w:fill="auto"/>
            <w:noWrap/>
            <w:vAlign w:val="center"/>
            <w:hideMark/>
          </w:tcPr>
          <w:p w14:paraId="339A6064"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4470A0F6"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32AA384B"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20F4494"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Redundancy version, second CW</w:t>
            </w:r>
          </w:p>
        </w:tc>
        <w:tc>
          <w:tcPr>
            <w:tcW w:w="1440" w:type="dxa"/>
            <w:tcBorders>
              <w:top w:val="nil"/>
              <w:left w:val="nil"/>
              <w:bottom w:val="single" w:sz="8" w:space="0" w:color="auto"/>
              <w:right w:val="single" w:sz="8" w:space="0" w:color="auto"/>
            </w:tcBorders>
            <w:shd w:val="clear" w:color="auto" w:fill="auto"/>
            <w:noWrap/>
            <w:vAlign w:val="center"/>
            <w:hideMark/>
          </w:tcPr>
          <w:p w14:paraId="3EC6B90F"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68B63F60"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686EC521"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473E56BC"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 xml:space="preserve">HARQ process number </w:t>
            </w:r>
          </w:p>
        </w:tc>
        <w:tc>
          <w:tcPr>
            <w:tcW w:w="1440" w:type="dxa"/>
            <w:tcBorders>
              <w:top w:val="nil"/>
              <w:left w:val="nil"/>
              <w:bottom w:val="single" w:sz="8" w:space="0" w:color="auto"/>
              <w:right w:val="single" w:sz="8" w:space="0" w:color="auto"/>
            </w:tcBorders>
            <w:shd w:val="clear" w:color="auto" w:fill="auto"/>
            <w:noWrap/>
            <w:vAlign w:val="center"/>
            <w:hideMark/>
          </w:tcPr>
          <w:p w14:paraId="3D923AB2"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DE294AF"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3C736C13"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7C8D6EBB"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CBGFI</w:t>
            </w:r>
          </w:p>
        </w:tc>
        <w:tc>
          <w:tcPr>
            <w:tcW w:w="1440" w:type="dxa"/>
            <w:tcBorders>
              <w:top w:val="nil"/>
              <w:left w:val="nil"/>
              <w:bottom w:val="single" w:sz="8" w:space="0" w:color="auto"/>
              <w:right w:val="single" w:sz="8" w:space="0" w:color="auto"/>
            </w:tcBorders>
            <w:shd w:val="clear" w:color="auto" w:fill="auto"/>
            <w:noWrap/>
            <w:vAlign w:val="center"/>
            <w:hideMark/>
          </w:tcPr>
          <w:p w14:paraId="58DE03C7"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5843CF45"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6B36EA53"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305DEDC"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CBGTI</w:t>
            </w:r>
          </w:p>
        </w:tc>
        <w:tc>
          <w:tcPr>
            <w:tcW w:w="1440" w:type="dxa"/>
            <w:tcBorders>
              <w:top w:val="nil"/>
              <w:left w:val="nil"/>
              <w:bottom w:val="single" w:sz="8" w:space="0" w:color="auto"/>
              <w:right w:val="single" w:sz="8" w:space="0" w:color="auto"/>
            </w:tcBorders>
            <w:shd w:val="clear" w:color="auto" w:fill="auto"/>
            <w:noWrap/>
            <w:vAlign w:val="center"/>
            <w:hideMark/>
          </w:tcPr>
          <w:p w14:paraId="03435C1E"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4A31953C"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532F3353"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4C86698"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 xml:space="preserve">TPC command for PUCCH </w:t>
            </w:r>
          </w:p>
        </w:tc>
        <w:tc>
          <w:tcPr>
            <w:tcW w:w="1440" w:type="dxa"/>
            <w:tcBorders>
              <w:top w:val="nil"/>
              <w:left w:val="nil"/>
              <w:bottom w:val="single" w:sz="8" w:space="0" w:color="auto"/>
              <w:right w:val="single" w:sz="8" w:space="0" w:color="auto"/>
            </w:tcBorders>
            <w:shd w:val="clear" w:color="auto" w:fill="auto"/>
            <w:noWrap/>
            <w:vAlign w:val="center"/>
            <w:hideMark/>
          </w:tcPr>
          <w:p w14:paraId="07149330"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3B5F543B"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37B81741"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4D0D377"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ARI (ACK/NAK Resource Index)</w:t>
            </w:r>
          </w:p>
        </w:tc>
        <w:tc>
          <w:tcPr>
            <w:tcW w:w="1440" w:type="dxa"/>
            <w:tcBorders>
              <w:top w:val="nil"/>
              <w:left w:val="nil"/>
              <w:bottom w:val="single" w:sz="8" w:space="0" w:color="auto"/>
              <w:right w:val="single" w:sz="8" w:space="0" w:color="auto"/>
            </w:tcBorders>
            <w:shd w:val="clear" w:color="auto" w:fill="auto"/>
            <w:noWrap/>
            <w:vAlign w:val="center"/>
            <w:hideMark/>
          </w:tcPr>
          <w:p w14:paraId="6A4D4DAD"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32A9D0B2"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1994FEB5"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C60E33E"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HARQ timing indicator</w:t>
            </w:r>
          </w:p>
        </w:tc>
        <w:tc>
          <w:tcPr>
            <w:tcW w:w="1440" w:type="dxa"/>
            <w:tcBorders>
              <w:top w:val="nil"/>
              <w:left w:val="nil"/>
              <w:bottom w:val="single" w:sz="8" w:space="0" w:color="auto"/>
              <w:right w:val="single" w:sz="8" w:space="0" w:color="auto"/>
            </w:tcBorders>
            <w:shd w:val="clear" w:color="auto" w:fill="auto"/>
            <w:noWrap/>
            <w:vAlign w:val="center"/>
            <w:hideMark/>
          </w:tcPr>
          <w:p w14:paraId="1BFA9811"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7A89625"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34940DCF"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3FC2393"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lastRenderedPageBreak/>
              <w:t xml:space="preserve">Downlink Assignment Index </w:t>
            </w:r>
          </w:p>
        </w:tc>
        <w:tc>
          <w:tcPr>
            <w:tcW w:w="1440" w:type="dxa"/>
            <w:tcBorders>
              <w:top w:val="nil"/>
              <w:left w:val="nil"/>
              <w:bottom w:val="single" w:sz="8" w:space="0" w:color="auto"/>
              <w:right w:val="single" w:sz="8" w:space="0" w:color="auto"/>
            </w:tcBorders>
            <w:shd w:val="clear" w:color="auto" w:fill="auto"/>
            <w:noWrap/>
            <w:vAlign w:val="center"/>
            <w:hideMark/>
          </w:tcPr>
          <w:p w14:paraId="7AED6C41"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15F001D"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2634012F" w14:textId="77777777" w:rsidTr="005A23A9">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EE29DA9"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Antenna port(s)</w:t>
            </w:r>
          </w:p>
        </w:tc>
        <w:tc>
          <w:tcPr>
            <w:tcW w:w="1440" w:type="dxa"/>
            <w:tcBorders>
              <w:top w:val="nil"/>
              <w:left w:val="nil"/>
              <w:bottom w:val="single" w:sz="8" w:space="0" w:color="auto"/>
              <w:right w:val="single" w:sz="8" w:space="0" w:color="auto"/>
            </w:tcBorders>
            <w:shd w:val="clear" w:color="auto" w:fill="auto"/>
            <w:noWrap/>
            <w:vAlign w:val="center"/>
            <w:hideMark/>
          </w:tcPr>
          <w:p w14:paraId="46C72B1B"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61CD90AC"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A675F1" w:rsidRPr="00A52060" w14:paraId="05AA317D" w14:textId="77777777" w:rsidTr="005A23A9">
        <w:trPr>
          <w:trHeight w:val="402"/>
        </w:trPr>
        <w:tc>
          <w:tcPr>
            <w:tcW w:w="235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1E34BA" w14:textId="77777777" w:rsidR="00A675F1" w:rsidRPr="00A52060" w:rsidRDefault="00A675F1" w:rsidP="005A23A9">
            <w:pPr>
              <w:spacing w:after="0"/>
              <w:rPr>
                <w:rFonts w:eastAsia="Times New Roman"/>
                <w:color w:val="000000"/>
                <w:lang w:val="en-US" w:eastAsia="zh-CN"/>
              </w:rPr>
            </w:pPr>
            <w:r w:rsidRPr="00A52060">
              <w:rPr>
                <w:rFonts w:eastAsia="Times New Roman"/>
                <w:color w:val="000000"/>
                <w:lang w:eastAsia="zh-CN"/>
              </w:rPr>
              <w:t>TCI (Transmission Configuration Indication)</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05D99672"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076D42D9" w14:textId="77777777" w:rsidR="00A675F1" w:rsidRPr="00A52060" w:rsidRDefault="00A675F1" w:rsidP="005A23A9">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bl>
    <w:p w14:paraId="1CE0D462" w14:textId="77777777" w:rsidR="00A4495D" w:rsidRPr="00A24C2B" w:rsidRDefault="00A4495D">
      <w:pPr>
        <w:spacing w:after="0"/>
        <w:rPr>
          <w:rFonts w:eastAsiaTheme="minorEastAsia"/>
          <w:lang w:eastAsia="ko-KR"/>
        </w:rPr>
      </w:pPr>
    </w:p>
    <w:p w14:paraId="3F0B409B" w14:textId="627FAD5A" w:rsidR="00A4495D" w:rsidRPr="00A4495D" w:rsidRDefault="00A4495D"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A4495D">
        <w:rPr>
          <w:rFonts w:hint="eastAsia"/>
          <w:szCs w:val="20"/>
          <w:lang w:val="en-US"/>
        </w:rPr>
        <w:t>References</w:t>
      </w:r>
    </w:p>
    <w:p w14:paraId="128A6037" w14:textId="5CE3A7C7" w:rsidR="00A4495D" w:rsidRDefault="00A4495D" w:rsidP="00A4495D">
      <w:pPr>
        <w:spacing w:after="0"/>
        <w:rPr>
          <w:rFonts w:eastAsiaTheme="minorEastAsia"/>
          <w:lang w:val="en-US" w:eastAsia="ko-KR"/>
        </w:rPr>
      </w:pPr>
      <w:r>
        <w:rPr>
          <w:rFonts w:eastAsiaTheme="minorEastAsia" w:hint="eastAsia"/>
          <w:lang w:eastAsia="ko-KR"/>
        </w:rPr>
        <w:t xml:space="preserve">[1] </w:t>
      </w:r>
      <w:r w:rsidR="00A675F1" w:rsidRPr="00A675F1">
        <w:rPr>
          <w:rFonts w:eastAsiaTheme="minorEastAsia"/>
          <w:lang w:val="en-US" w:eastAsia="ko-KR"/>
        </w:rPr>
        <w:t>R1-1800414</w:t>
      </w:r>
      <w:r w:rsidR="00A675F1">
        <w:rPr>
          <w:rFonts w:eastAsiaTheme="minorEastAsia"/>
          <w:lang w:val="en-US" w:eastAsia="ko-KR"/>
        </w:rPr>
        <w:t xml:space="preserve">, </w:t>
      </w:r>
      <w:r w:rsidR="00A675F1" w:rsidRPr="00A675F1">
        <w:rPr>
          <w:rFonts w:eastAsiaTheme="minorEastAsia"/>
          <w:lang w:val="en-US" w:eastAsia="ko-KR"/>
        </w:rPr>
        <w:t>Corrections on Remaining Minimum System Information</w:t>
      </w:r>
      <w:r w:rsidR="00A675F1">
        <w:rPr>
          <w:rFonts w:eastAsiaTheme="minorEastAsia"/>
          <w:lang w:val="en-US" w:eastAsia="ko-KR"/>
        </w:rPr>
        <w:t xml:space="preserve">, </w:t>
      </w:r>
      <w:r w:rsidR="00A675F1" w:rsidRPr="00A675F1">
        <w:rPr>
          <w:rFonts w:eastAsiaTheme="minorEastAsia"/>
          <w:lang w:val="en-US" w:eastAsia="ko-KR"/>
        </w:rPr>
        <w:t>Samsung</w:t>
      </w:r>
    </w:p>
    <w:p w14:paraId="01B539D2" w14:textId="77777777" w:rsidR="00A4495D" w:rsidRPr="00A4495D" w:rsidRDefault="00A4495D">
      <w:pPr>
        <w:spacing w:after="0"/>
        <w:rPr>
          <w:rFonts w:eastAsiaTheme="minorEastAsia"/>
          <w:lang w:val="en-US" w:eastAsia="ko-KR"/>
        </w:rPr>
      </w:pPr>
    </w:p>
    <w:sectPr w:rsidR="00A4495D" w:rsidRPr="00A4495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B0F1C" w14:textId="77777777" w:rsidR="00493411" w:rsidRDefault="00493411">
      <w:r>
        <w:separator/>
      </w:r>
    </w:p>
  </w:endnote>
  <w:endnote w:type="continuationSeparator" w:id="0">
    <w:p w14:paraId="43E5AD40" w14:textId="77777777" w:rsidR="00493411" w:rsidRDefault="00493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C93F2" w14:textId="77777777" w:rsidR="00493411" w:rsidRDefault="00493411">
      <w:r>
        <w:separator/>
      </w:r>
    </w:p>
  </w:footnote>
  <w:footnote w:type="continuationSeparator" w:id="0">
    <w:p w14:paraId="2AB9CCA1" w14:textId="77777777" w:rsidR="00493411" w:rsidRDefault="00493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69426A"/>
    <w:multiLevelType w:val="hybridMultilevel"/>
    <w:tmpl w:val="2EC6D4D6"/>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F5601"/>
    <w:multiLevelType w:val="hybridMultilevel"/>
    <w:tmpl w:val="CAEAF4B0"/>
    <w:lvl w:ilvl="0" w:tplc="E55A6B4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5883536"/>
    <w:multiLevelType w:val="hybridMultilevel"/>
    <w:tmpl w:val="52B2E9C4"/>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3E52E38"/>
    <w:multiLevelType w:val="hybridMultilevel"/>
    <w:tmpl w:val="918633DE"/>
    <w:lvl w:ilvl="0" w:tplc="683432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4A16AF2"/>
    <w:multiLevelType w:val="hybridMultilevel"/>
    <w:tmpl w:val="9710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263E9"/>
    <w:multiLevelType w:val="hybridMultilevel"/>
    <w:tmpl w:val="148C964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B6265B18">
      <w:start w:val="2017"/>
      <w:numFmt w:val="bullet"/>
      <w:lvlText w:val=""/>
      <w:lvlJc w:val="left"/>
      <w:pPr>
        <w:ind w:left="2160" w:hanging="360"/>
      </w:pPr>
      <w:rPr>
        <w:rFonts w:ascii="Wingdings" w:eastAsia="맑은 고딕" w:hAnsi="Wingdings"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15:restartNumberingAfterBreak="0">
    <w:nsid w:val="29D452E3"/>
    <w:multiLevelType w:val="hybridMultilevel"/>
    <w:tmpl w:val="D8885C58"/>
    <w:lvl w:ilvl="0" w:tplc="D7BE4FC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77831"/>
    <w:multiLevelType w:val="hybridMultilevel"/>
    <w:tmpl w:val="FE5A45B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B659AC"/>
    <w:multiLevelType w:val="hybridMultilevel"/>
    <w:tmpl w:val="53EE6C38"/>
    <w:lvl w:ilvl="0" w:tplc="B8B0E0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B085B"/>
    <w:multiLevelType w:val="hybridMultilevel"/>
    <w:tmpl w:val="50E601C6"/>
    <w:lvl w:ilvl="0" w:tplc="EF9CF64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5A2546"/>
    <w:multiLevelType w:val="hybridMultilevel"/>
    <w:tmpl w:val="49E8CBFC"/>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9B7DFC"/>
    <w:multiLevelType w:val="hybridMultilevel"/>
    <w:tmpl w:val="68D2C37E"/>
    <w:lvl w:ilvl="0" w:tplc="45C652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B33FD3"/>
    <w:multiLevelType w:val="hybridMultilevel"/>
    <w:tmpl w:val="60C83F72"/>
    <w:lvl w:ilvl="0" w:tplc="BE100FD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EF16D1"/>
    <w:multiLevelType w:val="hybridMultilevel"/>
    <w:tmpl w:val="47921EC6"/>
    <w:lvl w:ilvl="0" w:tplc="2758A5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4C4430B"/>
    <w:multiLevelType w:val="hybridMultilevel"/>
    <w:tmpl w:val="CA885C76"/>
    <w:lvl w:ilvl="0" w:tplc="04090001">
      <w:start w:val="1"/>
      <w:numFmt w:val="bullet"/>
      <w:lvlText w:val=""/>
      <w:lvlJc w:val="left"/>
      <w:pPr>
        <w:ind w:left="480" w:hanging="48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ED668E"/>
    <w:multiLevelType w:val="hybridMultilevel"/>
    <w:tmpl w:val="0D66547E"/>
    <w:lvl w:ilvl="0" w:tplc="93605BE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130D67"/>
    <w:multiLevelType w:val="hybridMultilevel"/>
    <w:tmpl w:val="B84A77DA"/>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A27446"/>
    <w:multiLevelType w:val="hybridMultilevel"/>
    <w:tmpl w:val="F9608ED8"/>
    <w:lvl w:ilvl="0" w:tplc="0F522E4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7AD7B49"/>
    <w:multiLevelType w:val="hybridMultilevel"/>
    <w:tmpl w:val="16B233A2"/>
    <w:lvl w:ilvl="0" w:tplc="B2829A5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6"/>
  </w:num>
  <w:num w:numId="3">
    <w:abstractNumId w:val="27"/>
  </w:num>
  <w:num w:numId="4">
    <w:abstractNumId w:val="38"/>
  </w:num>
  <w:num w:numId="5">
    <w:abstractNumId w:val="32"/>
  </w:num>
  <w:num w:numId="6">
    <w:abstractNumId w:val="29"/>
  </w:num>
  <w:num w:numId="7">
    <w:abstractNumId w:val="34"/>
  </w:num>
  <w:num w:numId="8">
    <w:abstractNumId w:val="30"/>
  </w:num>
  <w:num w:numId="9">
    <w:abstractNumId w:val="5"/>
  </w:num>
  <w:num w:numId="10">
    <w:abstractNumId w:val="26"/>
  </w:num>
  <w:num w:numId="11">
    <w:abstractNumId w:val="24"/>
  </w:num>
  <w:num w:numId="12">
    <w:abstractNumId w:val="9"/>
  </w:num>
  <w:num w:numId="13">
    <w:abstractNumId w:val="1"/>
  </w:num>
  <w:num w:numId="14">
    <w:abstractNumId w:val="21"/>
  </w:num>
  <w:num w:numId="15">
    <w:abstractNumId w:val="11"/>
  </w:num>
  <w:num w:numId="16">
    <w:abstractNumId w:val="31"/>
  </w:num>
  <w:num w:numId="17">
    <w:abstractNumId w:val="6"/>
  </w:num>
  <w:num w:numId="18">
    <w:abstractNumId w:val="15"/>
  </w:num>
  <w:num w:numId="19">
    <w:abstractNumId w:val="8"/>
  </w:num>
  <w:num w:numId="20">
    <w:abstractNumId w:val="36"/>
  </w:num>
  <w:num w:numId="21">
    <w:abstractNumId w:val="12"/>
  </w:num>
  <w:num w:numId="22">
    <w:abstractNumId w:val="3"/>
  </w:num>
  <w:num w:numId="23">
    <w:abstractNumId w:val="33"/>
  </w:num>
  <w:num w:numId="24">
    <w:abstractNumId w:val="43"/>
  </w:num>
  <w:num w:numId="25">
    <w:abstractNumId w:val="42"/>
  </w:num>
  <w:num w:numId="26">
    <w:abstractNumId w:val="35"/>
  </w:num>
  <w:num w:numId="27">
    <w:abstractNumId w:val="13"/>
  </w:num>
  <w:num w:numId="28">
    <w:abstractNumId w:val="19"/>
  </w:num>
  <w:num w:numId="29">
    <w:abstractNumId w:val="10"/>
  </w:num>
  <w:num w:numId="30">
    <w:abstractNumId w:val="14"/>
  </w:num>
  <w:num w:numId="31">
    <w:abstractNumId w:val="20"/>
  </w:num>
  <w:num w:numId="32">
    <w:abstractNumId w:val="37"/>
  </w:num>
  <w:num w:numId="33">
    <w:abstractNumId w:val="2"/>
  </w:num>
  <w:num w:numId="34">
    <w:abstractNumId w:val="18"/>
  </w:num>
  <w:num w:numId="35">
    <w:abstractNumId w:val="4"/>
  </w:num>
  <w:num w:numId="36">
    <w:abstractNumId w:val="28"/>
  </w:num>
  <w:num w:numId="37">
    <w:abstractNumId w:val="0"/>
  </w:num>
  <w:num w:numId="38">
    <w:abstractNumId w:val="23"/>
  </w:num>
  <w:num w:numId="39">
    <w:abstractNumId w:val="25"/>
  </w:num>
  <w:num w:numId="40">
    <w:abstractNumId w:val="22"/>
  </w:num>
  <w:num w:numId="41">
    <w:abstractNumId w:val="17"/>
  </w:num>
  <w:num w:numId="42">
    <w:abstractNumId w:val="41"/>
  </w:num>
  <w:num w:numId="43">
    <w:abstractNumId w:val="40"/>
  </w:num>
  <w:num w:numId="44">
    <w:abstractNumId w:val="7"/>
  </w:num>
  <w:num w:numId="45">
    <w:abstractNumId w:val="7"/>
  </w:num>
  <w:num w:numId="46">
    <w:abstractNumId w:val="7"/>
  </w:num>
  <w:num w:numId="47">
    <w:abstractNumId w:val="7"/>
  </w:num>
  <w:num w:numId="48">
    <w:abstractNumId w:val="7"/>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1F82"/>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B5F6008-A748-42BA-BAB1-42BF22C3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DFA60-EF26-4DA2-916A-6C0C6BBA4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653</Words>
  <Characters>3726</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3</cp:revision>
  <cp:lastPrinted>2012-03-15T10:36:00Z</cp:lastPrinted>
  <dcterms:created xsi:type="dcterms:W3CDTF">2018-01-13T04:12:00Z</dcterms:created>
  <dcterms:modified xsi:type="dcterms:W3CDTF">2018-01-13T04:12:00Z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